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1E" w:rsidRDefault="00D97C88" w:rsidP="00D97C88">
      <w:pPr>
        <w:spacing w:after="0"/>
        <w:jc w:val="center"/>
      </w:pPr>
      <w:bookmarkStart w:id="0" w:name="_GoBack"/>
      <w:bookmarkEnd w:id="0"/>
      <w:r>
        <w:t xml:space="preserve">Tax Issues Associated with </w:t>
      </w:r>
      <w:r w:rsidR="00373DF3">
        <w:t xml:space="preserve">Truly Self-Directed </w:t>
      </w:r>
      <w:r>
        <w:t>Individual Retirement Accounts</w:t>
      </w:r>
    </w:p>
    <w:p w:rsidR="00CC3E9A" w:rsidRDefault="00CC3E9A" w:rsidP="00D97C88">
      <w:pPr>
        <w:spacing w:after="0"/>
        <w:jc w:val="center"/>
      </w:pPr>
      <w:r>
        <w:t>David Green CPA</w:t>
      </w:r>
    </w:p>
    <w:p w:rsidR="00D97C88" w:rsidRDefault="00D97C88" w:rsidP="00D97C88">
      <w:pPr>
        <w:spacing w:after="0"/>
        <w:jc w:val="center"/>
      </w:pPr>
    </w:p>
    <w:p w:rsidR="00D97C88" w:rsidRDefault="00D97C88" w:rsidP="00D97C88">
      <w:pPr>
        <w:spacing w:after="0"/>
      </w:pPr>
    </w:p>
    <w:p w:rsidR="00146AAF" w:rsidRDefault="00146AAF" w:rsidP="00D97C88">
      <w:pPr>
        <w:pStyle w:val="ListParagraph"/>
        <w:numPr>
          <w:ilvl w:val="0"/>
          <w:numId w:val="1"/>
        </w:numPr>
        <w:spacing w:after="0"/>
      </w:pPr>
      <w:r>
        <w:t>Transactions that will cause problems</w:t>
      </w:r>
    </w:p>
    <w:p w:rsidR="00146AAF" w:rsidRDefault="00146AAF" w:rsidP="00146AAF">
      <w:pPr>
        <w:pStyle w:val="ListParagraph"/>
        <w:numPr>
          <w:ilvl w:val="1"/>
          <w:numId w:val="1"/>
        </w:numPr>
        <w:spacing w:after="0"/>
      </w:pPr>
      <w:r>
        <w:t>Disqualified persons (DP)</w:t>
      </w:r>
    </w:p>
    <w:p w:rsidR="00146AAF" w:rsidRDefault="00146AAF" w:rsidP="00146AAF">
      <w:pPr>
        <w:pStyle w:val="ListParagraph"/>
        <w:numPr>
          <w:ilvl w:val="2"/>
          <w:numId w:val="1"/>
        </w:numPr>
        <w:spacing w:after="0"/>
      </w:pPr>
      <w:r>
        <w:t>IRA owner</w:t>
      </w:r>
      <w:r w:rsidR="00373DF3">
        <w:t xml:space="preserve"> (and in some cases, family </w:t>
      </w:r>
      <w:r w:rsidR="00CC3E9A">
        <w:t>of the owner)</w:t>
      </w:r>
    </w:p>
    <w:p w:rsidR="00146AAF" w:rsidRDefault="00146AAF" w:rsidP="00146AAF">
      <w:pPr>
        <w:pStyle w:val="ListParagraph"/>
        <w:numPr>
          <w:ilvl w:val="2"/>
          <w:numId w:val="1"/>
        </w:numPr>
        <w:spacing w:after="0"/>
      </w:pPr>
      <w:r>
        <w:t>IRA beneficiaries</w:t>
      </w:r>
    </w:p>
    <w:p w:rsidR="00146AAF" w:rsidRDefault="00146AAF" w:rsidP="00146AAF">
      <w:pPr>
        <w:pStyle w:val="ListParagraph"/>
        <w:numPr>
          <w:ilvl w:val="1"/>
          <w:numId w:val="1"/>
        </w:numPr>
        <w:spacing w:after="0"/>
      </w:pPr>
      <w:r>
        <w:t>Prohibited transactions (Code and ERISA restrictions)</w:t>
      </w:r>
    </w:p>
    <w:p w:rsidR="00146AAF" w:rsidRDefault="00146AAF" w:rsidP="00146AAF">
      <w:pPr>
        <w:pStyle w:val="ListParagraph"/>
        <w:numPr>
          <w:ilvl w:val="2"/>
          <w:numId w:val="1"/>
        </w:numPr>
        <w:spacing w:after="0"/>
      </w:pPr>
      <w:r>
        <w:t>Sale/exchange/leasing of property between plan and a DP</w:t>
      </w:r>
    </w:p>
    <w:p w:rsidR="00146AAF" w:rsidRDefault="00146AAF" w:rsidP="00146AAF">
      <w:pPr>
        <w:pStyle w:val="ListParagraph"/>
        <w:numPr>
          <w:ilvl w:val="2"/>
          <w:numId w:val="1"/>
        </w:numPr>
        <w:spacing w:after="0"/>
      </w:pPr>
      <w:r>
        <w:t>Lending of money between plan and a DP</w:t>
      </w:r>
    </w:p>
    <w:p w:rsidR="00146AAF" w:rsidRDefault="00146AAF" w:rsidP="00146AAF">
      <w:pPr>
        <w:pStyle w:val="ListParagraph"/>
        <w:numPr>
          <w:ilvl w:val="2"/>
          <w:numId w:val="1"/>
        </w:numPr>
        <w:spacing w:after="0"/>
      </w:pPr>
      <w:r>
        <w:t>Furnishing of goods/services/facilities between plan and a DP</w:t>
      </w:r>
    </w:p>
    <w:p w:rsidR="00146AAF" w:rsidRDefault="00CC3E9A" w:rsidP="00146AAF">
      <w:pPr>
        <w:pStyle w:val="ListParagraph"/>
        <w:numPr>
          <w:ilvl w:val="1"/>
          <w:numId w:val="1"/>
        </w:numPr>
        <w:spacing w:after="0"/>
      </w:pPr>
      <w:r>
        <w:t>Practical examples</w:t>
      </w:r>
    </w:p>
    <w:p w:rsidR="00CC3E9A" w:rsidRDefault="00CC3E9A" w:rsidP="00CC3E9A">
      <w:pPr>
        <w:pStyle w:val="ListParagraph"/>
        <w:numPr>
          <w:ilvl w:val="2"/>
          <w:numId w:val="1"/>
        </w:numPr>
        <w:spacing w:after="0"/>
      </w:pPr>
      <w:r>
        <w:t>Purchase of residence to be occupied by IRA owner</w:t>
      </w:r>
    </w:p>
    <w:p w:rsidR="00CC3E9A" w:rsidRDefault="00CC3E9A" w:rsidP="00CC3E9A">
      <w:pPr>
        <w:pStyle w:val="ListParagraph"/>
        <w:numPr>
          <w:ilvl w:val="2"/>
          <w:numId w:val="1"/>
        </w:numPr>
        <w:spacing w:after="0"/>
      </w:pPr>
      <w:r>
        <w:t>Use of residence by IRA owner or child of IRA owner</w:t>
      </w:r>
    </w:p>
    <w:p w:rsidR="00CC3E9A" w:rsidRDefault="00CC3E9A" w:rsidP="00CC3E9A">
      <w:pPr>
        <w:pStyle w:val="ListParagraph"/>
        <w:numPr>
          <w:ilvl w:val="2"/>
          <w:numId w:val="1"/>
        </w:numPr>
        <w:spacing w:after="0"/>
      </w:pPr>
      <w:r>
        <w:t>Sale of assets owned by IRA owner to the plan</w:t>
      </w:r>
    </w:p>
    <w:p w:rsidR="00CC3E9A" w:rsidRDefault="00CC3E9A" w:rsidP="00CC3E9A">
      <w:pPr>
        <w:pStyle w:val="ListParagraph"/>
        <w:numPr>
          <w:ilvl w:val="2"/>
          <w:numId w:val="1"/>
        </w:numPr>
        <w:spacing w:after="0"/>
      </w:pPr>
      <w:r>
        <w:t>Sale of assets owned by the plan to the IRA owner</w:t>
      </w:r>
    </w:p>
    <w:p w:rsidR="00CC3E9A" w:rsidRDefault="00CC3E9A" w:rsidP="00CC3E9A">
      <w:pPr>
        <w:pStyle w:val="ListParagraph"/>
        <w:numPr>
          <w:ilvl w:val="2"/>
          <w:numId w:val="1"/>
        </w:numPr>
        <w:spacing w:after="0"/>
      </w:pPr>
      <w:r>
        <w:t>IRA’s investment in corporation/partnership in with the IRA owner has some affiliation (such as owner, co-investor, employee, director, officer)</w:t>
      </w:r>
    </w:p>
    <w:p w:rsidR="00CC3E9A" w:rsidRDefault="00CC3E9A" w:rsidP="00CC3E9A">
      <w:pPr>
        <w:pStyle w:val="ListParagraph"/>
        <w:numPr>
          <w:ilvl w:val="3"/>
          <w:numId w:val="1"/>
        </w:numPr>
        <w:spacing w:after="0"/>
      </w:pPr>
      <w:r>
        <w:t>IRA owner’s 50%  or more of the ownership of entity is a prohibited transaction</w:t>
      </w:r>
    </w:p>
    <w:p w:rsidR="00CC3E9A" w:rsidRDefault="00CC3E9A" w:rsidP="00CC3E9A">
      <w:pPr>
        <w:pStyle w:val="ListParagraph"/>
        <w:numPr>
          <w:ilvl w:val="2"/>
          <w:numId w:val="1"/>
        </w:numPr>
        <w:spacing w:after="0"/>
      </w:pPr>
      <w:r>
        <w:t>Joint investment of IRA and IRA owner in a third-party investment opportunity can cause some issues</w:t>
      </w:r>
    </w:p>
    <w:p w:rsidR="00CC3E9A" w:rsidRDefault="00CC3E9A" w:rsidP="00CC3E9A">
      <w:pPr>
        <w:pStyle w:val="ListParagraph"/>
        <w:spacing w:after="0"/>
        <w:ind w:left="2160"/>
      </w:pPr>
    </w:p>
    <w:p w:rsidR="00D97C88" w:rsidRDefault="00D97C88" w:rsidP="00D97C88">
      <w:pPr>
        <w:pStyle w:val="ListParagraph"/>
        <w:numPr>
          <w:ilvl w:val="0"/>
          <w:numId w:val="1"/>
        </w:numPr>
        <w:spacing w:after="0"/>
      </w:pPr>
      <w:r>
        <w:t>Unrelated Business Taxable Income</w:t>
      </w:r>
      <w:r w:rsidR="00616A0E">
        <w:t xml:space="preserve"> (UBTI)</w:t>
      </w:r>
    </w:p>
    <w:p w:rsidR="00D97C88" w:rsidRDefault="00D97C88" w:rsidP="00D97C88">
      <w:pPr>
        <w:pStyle w:val="ListParagraph"/>
        <w:numPr>
          <w:ilvl w:val="1"/>
          <w:numId w:val="1"/>
        </w:numPr>
        <w:spacing w:after="0"/>
      </w:pPr>
      <w:r>
        <w:t>Trade or business activity</w:t>
      </w:r>
      <w:r w:rsidR="00616A0E">
        <w:t xml:space="preserve"> regularly carried on by an IRA</w:t>
      </w:r>
    </w:p>
    <w:p w:rsidR="00D97C88" w:rsidRDefault="00616A0E" w:rsidP="00D97C88">
      <w:pPr>
        <w:pStyle w:val="ListParagraph"/>
        <w:numPr>
          <w:ilvl w:val="2"/>
          <w:numId w:val="1"/>
        </w:numPr>
        <w:spacing w:after="0"/>
      </w:pPr>
      <w:r>
        <w:t>Partner in a partnership or member of an LLC</w:t>
      </w:r>
    </w:p>
    <w:p w:rsidR="00D97C88" w:rsidRDefault="00D97C88" w:rsidP="00D97C88">
      <w:pPr>
        <w:pStyle w:val="ListParagraph"/>
        <w:numPr>
          <w:ilvl w:val="1"/>
          <w:numId w:val="1"/>
        </w:numPr>
        <w:spacing w:after="0"/>
      </w:pPr>
      <w:r>
        <w:t>Unrelated debt-financed income</w:t>
      </w:r>
    </w:p>
    <w:p w:rsidR="00D97C88" w:rsidRDefault="00D97C88" w:rsidP="00616A0E">
      <w:pPr>
        <w:pStyle w:val="ListParagraph"/>
        <w:numPr>
          <w:ilvl w:val="2"/>
          <w:numId w:val="1"/>
        </w:numPr>
        <w:spacing w:after="0"/>
      </w:pPr>
      <w:r>
        <w:t>Leveraging the purchase of real estate assets owned by an IRA</w:t>
      </w:r>
    </w:p>
    <w:p w:rsidR="00616A0E" w:rsidRDefault="00616A0E" w:rsidP="00616A0E">
      <w:pPr>
        <w:pStyle w:val="ListParagraph"/>
        <w:numPr>
          <w:ilvl w:val="2"/>
          <w:numId w:val="1"/>
        </w:numPr>
        <w:spacing w:after="0"/>
      </w:pPr>
      <w:r>
        <w:t>Ratio of debt value to property value determines  taxable percentage</w:t>
      </w:r>
    </w:p>
    <w:p w:rsidR="00616A0E" w:rsidRDefault="00616A0E" w:rsidP="00616A0E">
      <w:pPr>
        <w:pStyle w:val="ListParagraph"/>
        <w:numPr>
          <w:ilvl w:val="1"/>
          <w:numId w:val="1"/>
        </w:numPr>
        <w:spacing w:after="0"/>
      </w:pPr>
      <w:r>
        <w:t>Watch hedge funds and other more exotic investments</w:t>
      </w:r>
    </w:p>
    <w:p w:rsidR="00616A0E" w:rsidRDefault="00616A0E" w:rsidP="00616A0E">
      <w:pPr>
        <w:pStyle w:val="ListParagraph"/>
        <w:numPr>
          <w:ilvl w:val="1"/>
          <w:numId w:val="1"/>
        </w:numPr>
        <w:spacing w:after="0"/>
      </w:pPr>
      <w:r>
        <w:t>Form 990-T required if IRA has more than $1,000 of UBTI</w:t>
      </w:r>
    </w:p>
    <w:p w:rsidR="00616A0E" w:rsidRDefault="00616A0E" w:rsidP="00616A0E">
      <w:pPr>
        <w:pStyle w:val="ListParagraph"/>
        <w:numPr>
          <w:ilvl w:val="2"/>
          <w:numId w:val="1"/>
        </w:numPr>
        <w:spacing w:after="0"/>
      </w:pPr>
      <w:r>
        <w:t>Aggregate all IRA accounts</w:t>
      </w:r>
    </w:p>
    <w:p w:rsidR="00616A0E" w:rsidRDefault="00616A0E" w:rsidP="00616A0E">
      <w:pPr>
        <w:pStyle w:val="ListParagraph"/>
        <w:numPr>
          <w:ilvl w:val="2"/>
          <w:numId w:val="1"/>
        </w:numPr>
        <w:spacing w:after="0"/>
      </w:pPr>
      <w:r>
        <w:t>Tax return is due on April 15, extension is available</w:t>
      </w:r>
    </w:p>
    <w:p w:rsidR="00616A0E" w:rsidRDefault="00616A0E" w:rsidP="00616A0E">
      <w:pPr>
        <w:pStyle w:val="ListParagraph"/>
        <w:numPr>
          <w:ilvl w:val="2"/>
          <w:numId w:val="1"/>
        </w:numPr>
        <w:spacing w:after="0"/>
      </w:pPr>
      <w:r>
        <w:t>Tax is to be paid by IRA, not the beneficiary</w:t>
      </w:r>
    </w:p>
    <w:p w:rsidR="00CC3E9A" w:rsidRDefault="00CC3E9A" w:rsidP="00CC3E9A">
      <w:pPr>
        <w:pStyle w:val="ListParagraph"/>
        <w:spacing w:after="0"/>
        <w:ind w:left="2160"/>
      </w:pPr>
    </w:p>
    <w:p w:rsidR="00CC3E9A" w:rsidRDefault="00CC3E9A" w:rsidP="00CC3E9A">
      <w:pPr>
        <w:pStyle w:val="ListParagraph"/>
        <w:numPr>
          <w:ilvl w:val="0"/>
          <w:numId w:val="1"/>
        </w:numPr>
        <w:spacing w:after="0"/>
      </w:pPr>
      <w:r>
        <w:t>Planning considerations</w:t>
      </w:r>
    </w:p>
    <w:p w:rsidR="00CC3E9A" w:rsidRDefault="00CC3E9A" w:rsidP="00CC3E9A">
      <w:pPr>
        <w:pStyle w:val="ListParagraph"/>
        <w:numPr>
          <w:ilvl w:val="1"/>
          <w:numId w:val="1"/>
        </w:numPr>
        <w:spacing w:after="0"/>
      </w:pPr>
      <w:r>
        <w:t>Think about practical issues “up front”</w:t>
      </w:r>
    </w:p>
    <w:p w:rsidR="00CC3E9A" w:rsidRDefault="00CC3E9A" w:rsidP="00CC3E9A">
      <w:pPr>
        <w:pStyle w:val="ListParagraph"/>
        <w:numPr>
          <w:ilvl w:val="2"/>
          <w:numId w:val="1"/>
        </w:numPr>
        <w:spacing w:after="0"/>
      </w:pPr>
      <w:r>
        <w:t>What is the exit strategy for the investment?  Who will buy it?</w:t>
      </w:r>
    </w:p>
    <w:p w:rsidR="00CC3E9A" w:rsidRDefault="00CC3E9A" w:rsidP="00CC3E9A">
      <w:pPr>
        <w:pStyle w:val="ListParagraph"/>
        <w:numPr>
          <w:ilvl w:val="1"/>
          <w:numId w:val="1"/>
        </w:numPr>
        <w:spacing w:after="0"/>
      </w:pPr>
      <w:r>
        <w:t>Understand disqualified person rules “up front”</w:t>
      </w:r>
    </w:p>
    <w:p w:rsidR="00CC3E9A" w:rsidRPr="004C6D86" w:rsidRDefault="00CC3E9A" w:rsidP="00CC3E9A">
      <w:pPr>
        <w:pStyle w:val="ListParagraph"/>
        <w:numPr>
          <w:ilvl w:val="1"/>
          <w:numId w:val="1"/>
        </w:numPr>
        <w:spacing w:after="0"/>
      </w:pPr>
      <w:r>
        <w:t>Consider implications of potential tax on UBTI</w:t>
      </w:r>
    </w:p>
    <w:sectPr w:rsidR="00CC3E9A" w:rsidRPr="004C6D86" w:rsidSect="00D97C88">
      <w:pgSz w:w="12240" w:h="15840" w:code="1"/>
      <w:pgMar w:top="1440" w:right="1440" w:bottom="1440" w:left="1440" w:header="720" w:footer="720" w:gutter="0"/>
      <w:paperSrc w:first="257" w:other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7ADB"/>
    <w:multiLevelType w:val="hybridMultilevel"/>
    <w:tmpl w:val="F2C29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88"/>
    <w:rsid w:val="000068A8"/>
    <w:rsid w:val="00146AAF"/>
    <w:rsid w:val="001B05C6"/>
    <w:rsid w:val="00373DF3"/>
    <w:rsid w:val="003F27AE"/>
    <w:rsid w:val="004C6D86"/>
    <w:rsid w:val="00616A0E"/>
    <w:rsid w:val="007A4434"/>
    <w:rsid w:val="00A52B1E"/>
    <w:rsid w:val="00CC3E9A"/>
    <w:rsid w:val="00D9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Theme="minorHAnsi" w:hAnsi="Corbel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F27AE"/>
    <w:pPr>
      <w:spacing w:after="0"/>
    </w:pPr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F27AE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D97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Theme="minorHAnsi" w:hAnsi="Corbel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F27AE"/>
    <w:pPr>
      <w:spacing w:after="0"/>
    </w:pPr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F27AE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D97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Green</dc:creator>
  <cp:lastModifiedBy>David Green</cp:lastModifiedBy>
  <cp:revision>1</cp:revision>
  <dcterms:created xsi:type="dcterms:W3CDTF">2011-10-18T17:20:00Z</dcterms:created>
  <dcterms:modified xsi:type="dcterms:W3CDTF">2011-10-18T19:21:00Z</dcterms:modified>
</cp:coreProperties>
</file>